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7478" w14:textId="2044BCB8" w:rsidR="00174F10" w:rsidRPr="00BD515A" w:rsidRDefault="00174F10" w:rsidP="00174F10">
      <w:pPr>
        <w:spacing w:before="100" w:beforeAutospacing="1" w:after="120" w:line="240" w:lineRule="auto"/>
        <w:ind w:right="-14"/>
        <w:jc w:val="both"/>
        <w:rPr>
          <w:rFonts w:ascii="Times New Roman" w:hAnsi="Times New Roman"/>
          <w:sz w:val="24"/>
          <w:szCs w:val="24"/>
        </w:rPr>
      </w:pPr>
      <w:r>
        <w:rPr>
          <w:rFonts w:ascii="Times New Roman" w:eastAsia="Arial" w:hAnsi="Times New Roman" w:cs="Times New Roman"/>
          <w:b/>
          <w:bCs/>
          <w:sz w:val="24"/>
          <w:szCs w:val="24"/>
        </w:rPr>
        <w:t>WHAT ARE ALLOWABLE COSTS?</w:t>
      </w:r>
    </w:p>
    <w:p w14:paraId="0864C27C" w14:textId="50C5CBA0" w:rsidR="00174F10" w:rsidRPr="00347EAE" w:rsidRDefault="00174F10" w:rsidP="001A214A">
      <w:pPr>
        <w:spacing w:before="120" w:after="0" w:line="240" w:lineRule="auto"/>
        <w:ind w:right="-54"/>
        <w:jc w:val="both"/>
        <w:rPr>
          <w:rFonts w:ascii="Times New Roman" w:eastAsia="Arial" w:hAnsi="Times New Roman" w:cs="Times New Roman"/>
          <w:sz w:val="24"/>
          <w:szCs w:val="24"/>
        </w:rPr>
      </w:pPr>
      <w:r w:rsidRPr="00347EAE">
        <w:rPr>
          <w:rFonts w:ascii="Times New Roman" w:eastAsia="Arial" w:hAnsi="Times New Roman" w:cs="Times New Roman"/>
          <w:color w:val="231F20"/>
          <w:sz w:val="24"/>
          <w:szCs w:val="24"/>
        </w:rPr>
        <w:t>There are expenditures that the federal government deems inappropriate and will not reimburse; the government refers to these categories of costs as unallowable. These categories are identified by the government's Office of Management and Budget in Circular A-21.</w:t>
      </w:r>
    </w:p>
    <w:p w14:paraId="53E5F072" w14:textId="77777777" w:rsidR="00174F10" w:rsidRPr="00347EAE" w:rsidRDefault="00174F10" w:rsidP="00D525A3">
      <w:pPr>
        <w:spacing w:before="120" w:after="0" w:line="240" w:lineRule="auto"/>
        <w:ind w:right="-41"/>
        <w:jc w:val="both"/>
        <w:rPr>
          <w:rFonts w:ascii="Times New Roman" w:eastAsia="Arial" w:hAnsi="Times New Roman" w:cs="Times New Roman"/>
          <w:sz w:val="24"/>
          <w:szCs w:val="24"/>
        </w:rPr>
      </w:pPr>
      <w:r w:rsidRPr="00347EAE">
        <w:rPr>
          <w:rFonts w:ascii="Times New Roman" w:eastAsia="Arial" w:hAnsi="Times New Roman" w:cs="Times New Roman"/>
          <w:color w:val="231F20"/>
          <w:sz w:val="24"/>
          <w:szCs w:val="24"/>
        </w:rPr>
        <w:t>The term unallowable is defined by the federal government and is for the purpose of complying with federal costing regulations only.</w:t>
      </w:r>
    </w:p>
    <w:p w14:paraId="16DF4129" w14:textId="556926E7" w:rsidR="00174F10" w:rsidRPr="00347EAE" w:rsidRDefault="00174F10" w:rsidP="00D525A3">
      <w:pPr>
        <w:spacing w:before="120" w:after="0" w:line="240" w:lineRule="auto"/>
        <w:ind w:right="-45"/>
        <w:jc w:val="both"/>
        <w:rPr>
          <w:rFonts w:ascii="Times New Roman" w:eastAsia="Arial" w:hAnsi="Times New Roman" w:cs="Times New Roman"/>
          <w:sz w:val="24"/>
          <w:szCs w:val="24"/>
        </w:rPr>
      </w:pPr>
      <w:r w:rsidRPr="00347EAE">
        <w:rPr>
          <w:rFonts w:ascii="Times New Roman" w:eastAsia="Arial" w:hAnsi="Times New Roman" w:cs="Times New Roman"/>
          <w:color w:val="231F20"/>
          <w:sz w:val="24"/>
          <w:szCs w:val="24"/>
        </w:rPr>
        <w:t>All costs applied to federally sponsored accounts should pass the test of being reasonable, allowable, allocable (specific to the project), and consistently treated. Consider whether you would feel comfortable explaining this cost on a federally funded grant award to an auditor or members of the press. If not, a federal grant accou</w:t>
      </w:r>
      <w:bookmarkStart w:id="0" w:name="_GoBack"/>
      <w:bookmarkEnd w:id="0"/>
      <w:r w:rsidRPr="00347EAE">
        <w:rPr>
          <w:rFonts w:ascii="Times New Roman" w:eastAsia="Arial" w:hAnsi="Times New Roman" w:cs="Times New Roman"/>
          <w:color w:val="231F20"/>
          <w:sz w:val="24"/>
          <w:szCs w:val="24"/>
        </w:rPr>
        <w:t>nt should not be used.</w:t>
      </w:r>
    </w:p>
    <w:p w14:paraId="0641988E" w14:textId="1E1CE448" w:rsidR="00174F10" w:rsidRPr="00347EAE" w:rsidRDefault="00174F10" w:rsidP="001A214A">
      <w:pPr>
        <w:spacing w:before="120" w:after="0" w:line="240" w:lineRule="auto"/>
        <w:ind w:right="-38"/>
        <w:jc w:val="both"/>
        <w:rPr>
          <w:rFonts w:ascii="Times New Roman" w:eastAsia="Arial" w:hAnsi="Times New Roman" w:cs="Times New Roman"/>
          <w:sz w:val="24"/>
          <w:szCs w:val="24"/>
        </w:rPr>
      </w:pPr>
      <w:r w:rsidRPr="00347EAE">
        <w:rPr>
          <w:rFonts w:ascii="Times New Roman" w:eastAsia="Arial" w:hAnsi="Times New Roman" w:cs="Times New Roman"/>
          <w:color w:val="231F20"/>
          <w:sz w:val="24"/>
          <w:szCs w:val="24"/>
        </w:rPr>
        <w:t>Unless specifically approve</w:t>
      </w:r>
      <w:r w:rsidR="00D525A3">
        <w:rPr>
          <w:rFonts w:ascii="Times New Roman" w:eastAsia="Arial" w:hAnsi="Times New Roman" w:cs="Times New Roman"/>
          <w:color w:val="231F20"/>
          <w:sz w:val="24"/>
          <w:szCs w:val="24"/>
        </w:rPr>
        <w:t>d in the grant or contract docu</w:t>
      </w:r>
      <w:r w:rsidRPr="00347EAE">
        <w:rPr>
          <w:rFonts w:ascii="Times New Roman" w:eastAsia="Arial" w:hAnsi="Times New Roman" w:cs="Times New Roman"/>
          <w:color w:val="231F20"/>
          <w:sz w:val="24"/>
          <w:szCs w:val="24"/>
        </w:rPr>
        <w:t>mentation, the following are examples of unallowable costs:</w:t>
      </w:r>
    </w:p>
    <w:p w14:paraId="417891F1" w14:textId="77777777" w:rsidR="00174F10" w:rsidRPr="00347EAE" w:rsidRDefault="00174F10" w:rsidP="00347EAE">
      <w:pPr>
        <w:pStyle w:val="ListParagraph"/>
        <w:numPr>
          <w:ilvl w:val="0"/>
          <w:numId w:val="7"/>
        </w:numPr>
        <w:rPr>
          <w:rFonts w:cs="Times New Roman"/>
          <w:szCs w:val="24"/>
        </w:rPr>
      </w:pPr>
      <w:r w:rsidRPr="00347EAE">
        <w:rPr>
          <w:rFonts w:cs="Times New Roman"/>
          <w:szCs w:val="24"/>
        </w:rPr>
        <w:t>Advertising</w:t>
      </w:r>
    </w:p>
    <w:p w14:paraId="498393D5"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Public Relations Costs</w:t>
      </w:r>
    </w:p>
    <w:p w14:paraId="57CB1E94"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Alcohol</w:t>
      </w:r>
    </w:p>
    <w:p w14:paraId="2661098E"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Alumni Activity Costs</w:t>
      </w:r>
    </w:p>
    <w:p w14:paraId="4DBC701F" w14:textId="35015A53" w:rsidR="00174F10" w:rsidRPr="00347EAE" w:rsidRDefault="00174F10" w:rsidP="00D525A3">
      <w:pPr>
        <w:pStyle w:val="NoSpacing"/>
        <w:numPr>
          <w:ilvl w:val="0"/>
          <w:numId w:val="7"/>
        </w:numPr>
        <w:jc w:val="both"/>
        <w:rPr>
          <w:rFonts w:ascii="Times New Roman" w:hAnsi="Times New Roman"/>
          <w:sz w:val="24"/>
          <w:szCs w:val="24"/>
        </w:rPr>
      </w:pPr>
      <w:r w:rsidRPr="00347EAE">
        <w:rPr>
          <w:rFonts w:ascii="Times New Roman" w:eastAsia="Arial" w:hAnsi="Times New Roman"/>
          <w:color w:val="231F20"/>
          <w:sz w:val="24"/>
          <w:szCs w:val="24"/>
        </w:rPr>
        <w:t>Bad Debts</w:t>
      </w:r>
    </w:p>
    <w:p w14:paraId="6D3AA9E9"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Commencement and Convocation Costs</w:t>
      </w:r>
    </w:p>
    <w:p w14:paraId="7E954979"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Entertainment Costs (includes amusement and social activities)</w:t>
      </w:r>
    </w:p>
    <w:p w14:paraId="4030B4A6"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Lobbying Costs</w:t>
      </w:r>
    </w:p>
    <w:p w14:paraId="278F0A5D" w14:textId="77777777"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Fines and Penalties (including late fees) Goods and Services for Personal Use Housing and Personal Living Costs</w:t>
      </w:r>
    </w:p>
    <w:p w14:paraId="358D6542" w14:textId="7871DC29" w:rsidR="00174F10" w:rsidRPr="00347EAE" w:rsidRDefault="00174F10" w:rsidP="00D525A3">
      <w:pPr>
        <w:pStyle w:val="ListParagraph"/>
        <w:numPr>
          <w:ilvl w:val="0"/>
          <w:numId w:val="7"/>
        </w:numPr>
        <w:spacing w:before="0"/>
        <w:rPr>
          <w:rFonts w:cs="Times New Roman"/>
          <w:szCs w:val="24"/>
        </w:rPr>
      </w:pPr>
      <w:r w:rsidRPr="00347EAE">
        <w:rPr>
          <w:rFonts w:cs="Times New Roman"/>
          <w:szCs w:val="24"/>
        </w:rPr>
        <w:t xml:space="preserve">Computers and other technological devices, including cell phones, iPads, printers, etc. (unless demonstrably to be used for the purposes of a grant only and </w:t>
      </w:r>
      <w:r w:rsidR="00347EAE" w:rsidRPr="00347EAE">
        <w:rPr>
          <w:rFonts w:cs="Times New Roman"/>
          <w:szCs w:val="24"/>
        </w:rPr>
        <w:t>includ</w:t>
      </w:r>
      <w:r w:rsidRPr="00347EAE">
        <w:rPr>
          <w:rFonts w:cs="Times New Roman"/>
          <w:szCs w:val="24"/>
        </w:rPr>
        <w:t>ed in proposal budget submitted to federal agency)</w:t>
      </w:r>
    </w:p>
    <w:p w14:paraId="195204CC" w14:textId="588B27FF" w:rsidR="00174F10" w:rsidRPr="00347EAE" w:rsidRDefault="00174F10" w:rsidP="001A214A">
      <w:pPr>
        <w:spacing w:before="100" w:beforeAutospacing="1" w:after="0" w:line="240" w:lineRule="auto"/>
        <w:ind w:right="72"/>
        <w:jc w:val="both"/>
        <w:rPr>
          <w:rFonts w:ascii="Times New Roman" w:eastAsia="Arial" w:hAnsi="Times New Roman" w:cs="Times New Roman"/>
          <w:sz w:val="24"/>
          <w:szCs w:val="24"/>
        </w:rPr>
      </w:pPr>
      <w:r w:rsidRPr="00347EAE">
        <w:rPr>
          <w:rFonts w:ascii="Times New Roman" w:eastAsia="Arial" w:hAnsi="Times New Roman" w:cs="Times New Roman"/>
          <w:color w:val="231F20"/>
          <w:sz w:val="24"/>
          <w:szCs w:val="24"/>
        </w:rPr>
        <w:t>Many of the items stated in Circular A-21 as unallowable direct costs are such because that classification of cost has been included in the indirect cost rate determination. You cannot classify one type of cost as both a direct cost and an indirect cost as that would be double charging the government. If a cost is included in the Facilities and Administrative (F&amp;A) rate determination (indirect costs) it cannot be also booked as a direct expense to an account.</w:t>
      </w:r>
    </w:p>
    <w:p w14:paraId="51263937" w14:textId="62A85E8B" w:rsidR="00174F10" w:rsidRPr="000674EB" w:rsidRDefault="00174F10" w:rsidP="001A214A">
      <w:pPr>
        <w:spacing w:before="100" w:beforeAutospacing="1" w:after="0" w:line="240" w:lineRule="auto"/>
        <w:rPr>
          <w:rFonts w:ascii="Times New Roman" w:hAnsi="Times New Roman" w:cs="Times New Roman"/>
          <w:sz w:val="24"/>
          <w:szCs w:val="24"/>
        </w:rPr>
      </w:pPr>
      <w:r w:rsidRPr="00E459DA">
        <w:rPr>
          <w:rFonts w:ascii="Times New Roman" w:hAnsi="Times New Roman" w:cs="Times New Roman"/>
        </w:rPr>
        <w:t xml:space="preserve">A </w:t>
      </w:r>
      <w:r w:rsidRPr="00E459DA">
        <w:rPr>
          <w:rFonts w:ascii="Times New Roman" w:hAnsi="Times New Roman" w:cs="Times New Roman"/>
          <w:sz w:val="24"/>
          <w:szCs w:val="24"/>
        </w:rPr>
        <w:t>complete copy of Circular A-21 can be found at:</w:t>
      </w:r>
      <w:r w:rsidR="00347EAE" w:rsidRPr="00E459DA">
        <w:rPr>
          <w:rFonts w:ascii="Times New Roman" w:hAnsi="Times New Roman" w:cs="Times New Roman"/>
          <w:sz w:val="24"/>
          <w:szCs w:val="24"/>
        </w:rPr>
        <w:t xml:space="preserve"> </w:t>
      </w:r>
      <w:hyperlink r:id="rId8" w:history="1">
        <w:r w:rsidR="001A214A" w:rsidRPr="00E459DA">
          <w:rPr>
            <w:rStyle w:val="Hyperlink"/>
            <w:rFonts w:ascii="Times New Roman" w:hAnsi="Times New Roman" w:cs="Times New Roman"/>
            <w:bCs/>
            <w:color w:val="auto"/>
            <w:sz w:val="24"/>
            <w:szCs w:val="24"/>
          </w:rPr>
          <w:t xml:space="preserve">http://www.whitehouse.gov/omb/circulars_a021_2004 </w:t>
        </w:r>
      </w:hyperlink>
    </w:p>
    <w:p w14:paraId="3255CB0B" w14:textId="41B056F0" w:rsidR="00D525A3" w:rsidRDefault="00174F10" w:rsidP="001A214A">
      <w:pPr>
        <w:pStyle w:val="NoSpacing"/>
        <w:spacing w:before="100" w:beforeAutospacing="1"/>
        <w:jc w:val="both"/>
        <w:rPr>
          <w:rFonts w:ascii="Times New Roman" w:eastAsia="Times New Roman" w:hAnsi="Times New Roman"/>
          <w:sz w:val="24"/>
          <w:szCs w:val="24"/>
        </w:rPr>
      </w:pPr>
      <w:r w:rsidRPr="000674EB">
        <w:rPr>
          <w:rFonts w:ascii="Times New Roman" w:hAnsi="Times New Roman"/>
          <w:sz w:val="24"/>
          <w:szCs w:val="24"/>
        </w:rPr>
        <w:t>For more information</w:t>
      </w:r>
      <w:r w:rsidR="000B6C0E" w:rsidRPr="000674EB">
        <w:rPr>
          <w:rFonts w:ascii="Times New Roman" w:hAnsi="Times New Roman"/>
          <w:sz w:val="24"/>
          <w:szCs w:val="24"/>
        </w:rPr>
        <w:t xml:space="preserve">, contact </w:t>
      </w:r>
      <w:r w:rsidR="000B6C0E" w:rsidRPr="000674EB">
        <w:rPr>
          <w:rFonts w:ascii="Times New Roman" w:eastAsia="Times New Roman" w:hAnsi="Times New Roman"/>
          <w:sz w:val="24"/>
          <w:szCs w:val="24"/>
        </w:rPr>
        <w:t xml:space="preserve">Nicole Harris at (678) 466-5497 or </w:t>
      </w:r>
      <w:hyperlink r:id="rId9" w:history="1">
        <w:r w:rsidR="000B6C0E" w:rsidRPr="000674EB">
          <w:rPr>
            <w:rStyle w:val="Hyperlink"/>
            <w:rFonts w:ascii="Times New Roman" w:eastAsia="Times New Roman" w:hAnsi="Times New Roman"/>
            <w:color w:val="auto"/>
            <w:sz w:val="24"/>
            <w:szCs w:val="24"/>
          </w:rPr>
          <w:t>NicoleHarris@clayton.edu</w:t>
        </w:r>
      </w:hyperlink>
      <w:r w:rsidR="000B6C0E" w:rsidRPr="000674EB">
        <w:rPr>
          <w:rFonts w:ascii="Times New Roman" w:eastAsia="Times New Roman" w:hAnsi="Times New Roman"/>
          <w:sz w:val="24"/>
          <w:szCs w:val="24"/>
        </w:rPr>
        <w:t xml:space="preserve"> or CSU East, Woodlands </w:t>
      </w:r>
      <w:r w:rsidR="000B6C0E" w:rsidRPr="00D525A3">
        <w:rPr>
          <w:rFonts w:ascii="Times New Roman" w:eastAsia="Times New Roman" w:hAnsi="Times New Roman"/>
          <w:sz w:val="24"/>
          <w:szCs w:val="24"/>
        </w:rPr>
        <w:t>Hall.</w:t>
      </w:r>
    </w:p>
    <w:p w14:paraId="25041CF7" w14:textId="4FD63EE4" w:rsidR="00D525A3" w:rsidRDefault="00D525A3" w:rsidP="001A214A">
      <w:pPr>
        <w:pStyle w:val="NoSpacing"/>
        <w:spacing w:before="100" w:beforeAutospacing="1"/>
        <w:jc w:val="both"/>
        <w:rPr>
          <w:rFonts w:ascii="Times New Roman" w:eastAsia="Times New Roman" w:hAnsi="Times New Roman"/>
          <w:sz w:val="24"/>
          <w:szCs w:val="24"/>
        </w:rPr>
      </w:pPr>
      <w:hyperlink r:id="rId10" w:history="1">
        <w:r w:rsidRPr="00553B97">
          <w:rPr>
            <w:rStyle w:val="Hyperlink"/>
            <w:rFonts w:ascii="Times New Roman" w:eastAsia="Times New Roman" w:hAnsi="Times New Roman"/>
            <w:sz w:val="24"/>
            <w:szCs w:val="24"/>
          </w:rPr>
          <w:t>http://www.clayton.edu/Grant-Contract-Programs/Links</w:t>
        </w:r>
      </w:hyperlink>
    </w:p>
    <w:p w14:paraId="57ECDF0B" w14:textId="77777777" w:rsidR="00D525A3" w:rsidRPr="00D525A3" w:rsidRDefault="00D525A3" w:rsidP="001A214A">
      <w:pPr>
        <w:pStyle w:val="NoSpacing"/>
        <w:spacing w:before="100" w:beforeAutospacing="1"/>
        <w:jc w:val="both"/>
        <w:rPr>
          <w:rFonts w:ascii="Times New Roman" w:eastAsia="Times New Roman" w:hAnsi="Times New Roman"/>
          <w:sz w:val="24"/>
          <w:szCs w:val="24"/>
        </w:rPr>
      </w:pPr>
    </w:p>
    <w:sectPr w:rsidR="00D525A3" w:rsidRPr="00D525A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1315A" w14:textId="77777777" w:rsidR="00D027A9" w:rsidRDefault="00D027A9" w:rsidP="007E1179">
      <w:pPr>
        <w:spacing w:after="0" w:line="240" w:lineRule="auto"/>
      </w:pPr>
      <w:r>
        <w:separator/>
      </w:r>
    </w:p>
  </w:endnote>
  <w:endnote w:type="continuationSeparator" w:id="0">
    <w:p w14:paraId="2A6CB34A" w14:textId="77777777" w:rsidR="00D027A9" w:rsidRDefault="00D027A9"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362A4" w14:textId="77777777" w:rsidR="00D027A9" w:rsidRDefault="00D027A9" w:rsidP="007E1179">
      <w:pPr>
        <w:spacing w:after="0" w:line="240" w:lineRule="auto"/>
      </w:pPr>
      <w:r>
        <w:separator/>
      </w:r>
    </w:p>
  </w:footnote>
  <w:footnote w:type="continuationSeparator" w:id="0">
    <w:p w14:paraId="0697BEA3" w14:textId="77777777" w:rsidR="00D027A9" w:rsidRDefault="00D027A9"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116A9" w14:textId="24294757" w:rsidR="009F099E" w:rsidRPr="00AC2984"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AC2984">
      <w:rPr>
        <w:rFonts w:ascii="Times New Roman" w:eastAsia="Times New Roman" w:hAnsi="Times New Roman" w:cs="Times New Roman"/>
        <w:b/>
        <w:sz w:val="24"/>
        <w:szCs w:val="24"/>
      </w:rPr>
      <w:t>CLAYTON STATE UNIVERSITY</w:t>
    </w:r>
  </w:p>
  <w:p w14:paraId="029B3EA0" w14:textId="41D5F39A" w:rsidR="009F099E" w:rsidRPr="000674EB" w:rsidRDefault="009F099E"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0674EB">
      <w:rPr>
        <w:rFonts w:ascii="Times New Roman" w:eastAsia="Times New Roman" w:hAnsi="Times New Roman" w:cs="Times New Roman"/>
        <w:b/>
        <w:sz w:val="24"/>
        <w:szCs w:val="24"/>
      </w:rPr>
      <w:t>PRO</w:t>
    </w:r>
    <w:r w:rsidR="00877CC5" w:rsidRPr="000674EB">
      <w:rPr>
        <w:rFonts w:ascii="Times New Roman" w:eastAsia="Times New Roman" w:hAnsi="Times New Roman" w:cs="Times New Roman"/>
        <w:b/>
        <w:sz w:val="24"/>
        <w:szCs w:val="24"/>
      </w:rPr>
      <w:t xml:space="preserve">GRAM </w:t>
    </w:r>
    <w:r w:rsidR="00323285" w:rsidRPr="000674EB">
      <w:rPr>
        <w:rFonts w:ascii="Times New Roman" w:eastAsia="Times New Roman" w:hAnsi="Times New Roman" w:cs="Times New Roman"/>
        <w:b/>
        <w:sz w:val="24"/>
        <w:szCs w:val="24"/>
      </w:rPr>
      <w:t xml:space="preserve">BUDGET </w:t>
    </w:r>
    <w:r w:rsidR="00F15E44" w:rsidRPr="000674EB">
      <w:rPr>
        <w:rFonts w:ascii="Times New Roman" w:eastAsia="Times New Roman" w:hAnsi="Times New Roman" w:cs="Times New Roman"/>
        <w:b/>
        <w:sz w:val="24"/>
        <w:szCs w:val="24"/>
      </w:rPr>
      <w:t>DEVELOPMENT</w:t>
    </w:r>
  </w:p>
  <w:p w14:paraId="1BC0FDAF" w14:textId="5FB533A9" w:rsidR="00986E26" w:rsidRPr="000674EB" w:rsidRDefault="00174F10" w:rsidP="009F099E">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0674EB">
      <w:rPr>
        <w:rFonts w:ascii="Times New Roman" w:eastAsia="Times New Roman" w:hAnsi="Times New Roman" w:cs="Times New Roman"/>
        <w:b/>
        <w:sz w:val="24"/>
        <w:szCs w:val="24"/>
      </w:rPr>
      <w:t>WHAT ARE ALLOWABLE COSTS?</w:t>
    </w:r>
    <w:r w:rsidR="00F15E44" w:rsidRPr="000674EB">
      <w:rPr>
        <w:rFonts w:ascii="Times New Roman" w:eastAsia="Times New Roman" w:hAnsi="Times New Roman" w:cs="Times New Roman"/>
        <w:b/>
        <w:sz w:val="24"/>
        <w:szCs w:val="24"/>
      </w:rPr>
      <w:t xml:space="preserve"> </w:t>
    </w:r>
  </w:p>
  <w:p w14:paraId="15B6D672" w14:textId="77777777" w:rsidR="009F099E" w:rsidRPr="000674EB" w:rsidRDefault="009F0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C7DB3"/>
    <w:multiLevelType w:val="hybridMultilevel"/>
    <w:tmpl w:val="E2628E9C"/>
    <w:lvl w:ilvl="0" w:tplc="752C850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6" w15:restartNumberingAfterBreak="0">
    <w:nsid w:val="79213CFD"/>
    <w:multiLevelType w:val="hybridMultilevel"/>
    <w:tmpl w:val="03FC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674EB"/>
    <w:rsid w:val="00073EF2"/>
    <w:rsid w:val="000A14C5"/>
    <w:rsid w:val="000B6C0E"/>
    <w:rsid w:val="000B7F54"/>
    <w:rsid w:val="000C5929"/>
    <w:rsid w:val="00120E4D"/>
    <w:rsid w:val="00131E89"/>
    <w:rsid w:val="00154A33"/>
    <w:rsid w:val="00174F10"/>
    <w:rsid w:val="001A214A"/>
    <w:rsid w:val="001C2E02"/>
    <w:rsid w:val="001F1DEA"/>
    <w:rsid w:val="00271A8C"/>
    <w:rsid w:val="00281434"/>
    <w:rsid w:val="0029286A"/>
    <w:rsid w:val="002E6647"/>
    <w:rsid w:val="002F3B46"/>
    <w:rsid w:val="00323285"/>
    <w:rsid w:val="00332F62"/>
    <w:rsid w:val="00341B95"/>
    <w:rsid w:val="00344086"/>
    <w:rsid w:val="00347EAE"/>
    <w:rsid w:val="003A7A35"/>
    <w:rsid w:val="00421AB5"/>
    <w:rsid w:val="004531AC"/>
    <w:rsid w:val="004575D6"/>
    <w:rsid w:val="004677AA"/>
    <w:rsid w:val="004761DA"/>
    <w:rsid w:val="004B23B0"/>
    <w:rsid w:val="004D68CF"/>
    <w:rsid w:val="00527364"/>
    <w:rsid w:val="005D6C0F"/>
    <w:rsid w:val="005E42B9"/>
    <w:rsid w:val="0060197C"/>
    <w:rsid w:val="00630D63"/>
    <w:rsid w:val="0065692C"/>
    <w:rsid w:val="0067290E"/>
    <w:rsid w:val="00674179"/>
    <w:rsid w:val="006775A6"/>
    <w:rsid w:val="0073140F"/>
    <w:rsid w:val="00731E56"/>
    <w:rsid w:val="007E1179"/>
    <w:rsid w:val="00830402"/>
    <w:rsid w:val="00877CC5"/>
    <w:rsid w:val="00892A2F"/>
    <w:rsid w:val="008F3A8C"/>
    <w:rsid w:val="00986E26"/>
    <w:rsid w:val="009965B1"/>
    <w:rsid w:val="009C0250"/>
    <w:rsid w:val="009D2385"/>
    <w:rsid w:val="009F099E"/>
    <w:rsid w:val="00A43D71"/>
    <w:rsid w:val="00AC2984"/>
    <w:rsid w:val="00AC3ADE"/>
    <w:rsid w:val="00AE7E08"/>
    <w:rsid w:val="00B67797"/>
    <w:rsid w:val="00BD515A"/>
    <w:rsid w:val="00C22A17"/>
    <w:rsid w:val="00CB15EA"/>
    <w:rsid w:val="00CC428F"/>
    <w:rsid w:val="00D027A9"/>
    <w:rsid w:val="00D525A3"/>
    <w:rsid w:val="00D73E35"/>
    <w:rsid w:val="00DB69E8"/>
    <w:rsid w:val="00DC111C"/>
    <w:rsid w:val="00E459DA"/>
    <w:rsid w:val="00E67BC7"/>
    <w:rsid w:val="00E708F4"/>
    <w:rsid w:val="00EE438D"/>
    <w:rsid w:val="00EF1E8A"/>
    <w:rsid w:val="00F05A75"/>
    <w:rsid w:val="00F1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347EAE"/>
    <w:pPr>
      <w:widowControl w:val="0"/>
      <w:numPr>
        <w:numId w:val="8"/>
      </w:numPr>
      <w:spacing w:before="120" w:after="0" w:line="240" w:lineRule="auto"/>
      <w:ind w:right="932"/>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circulars_a021_2004%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ayton.edu/Grant-Contract-Programs/Links" TargetMode="External"/><Relationship Id="rId4" Type="http://schemas.openxmlformats.org/officeDocument/2006/relationships/settings" Target="settings.xml"/><Relationship Id="rId9" Type="http://schemas.openxmlformats.org/officeDocument/2006/relationships/hyperlink" Target="mailto:NicoleHarris@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F6076-381D-4EF5-A67B-4EFB8C50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348</Words>
  <Characters>1987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17</cp:revision>
  <dcterms:created xsi:type="dcterms:W3CDTF">2015-11-13T02:30:00Z</dcterms:created>
  <dcterms:modified xsi:type="dcterms:W3CDTF">2015-11-17T15:47:00Z</dcterms:modified>
</cp:coreProperties>
</file>